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F2B" w:rsidRDefault="00F52F2B" w:rsidP="00F52F2B">
      <w:pPr>
        <w:spacing w:line="240" w:lineRule="auto"/>
        <w:contextualSpacing/>
      </w:pPr>
      <w:r>
        <w:rPr>
          <w:rFonts w:asciiTheme="majorHAnsi" w:hAnsiTheme="majorHAnsi"/>
          <w:b/>
        </w:rPr>
        <w:t>Clara Norales</w:t>
      </w:r>
    </w:p>
    <w:p w:rsidR="00F52F2B" w:rsidRDefault="00F52F2B" w:rsidP="00F52F2B">
      <w:pPr>
        <w:spacing w:line="240" w:lineRule="auto"/>
        <w:contextualSpacing/>
      </w:pPr>
      <w:r>
        <w:rPr>
          <w:rFonts w:asciiTheme="majorHAnsi" w:hAnsiTheme="majorHAnsi"/>
          <w:b/>
        </w:rPr>
        <w:t>ED 7201T</w:t>
      </w:r>
    </w:p>
    <w:p w:rsidR="00F52F2B" w:rsidRDefault="00F52F2B" w:rsidP="00F52F2B">
      <w:pPr>
        <w:spacing w:line="240" w:lineRule="auto"/>
        <w:contextualSpacing/>
        <w:rPr>
          <w:rFonts w:asciiTheme="majorHAnsi" w:hAnsiTheme="majorHAnsi"/>
          <w:b/>
        </w:rPr>
      </w:pPr>
      <w:r>
        <w:rPr>
          <w:rFonts w:asciiTheme="majorHAnsi" w:hAnsiTheme="majorHAnsi"/>
          <w:b/>
        </w:rPr>
        <w:t>Dr. Sharon O’Connor-</w:t>
      </w:r>
      <w:proofErr w:type="spellStart"/>
      <w:r>
        <w:rPr>
          <w:rFonts w:asciiTheme="majorHAnsi" w:hAnsiTheme="majorHAnsi"/>
          <w:b/>
        </w:rPr>
        <w:t>Petruso</w:t>
      </w:r>
      <w:proofErr w:type="spellEnd"/>
    </w:p>
    <w:p w:rsidR="00F52F2B" w:rsidRDefault="00F52F2B" w:rsidP="00F52F2B">
      <w:pPr>
        <w:spacing w:line="240" w:lineRule="auto"/>
        <w:contextualSpacing/>
        <w:rPr>
          <w:rFonts w:asciiTheme="majorHAnsi" w:hAnsiTheme="majorHAnsi"/>
          <w:b/>
        </w:rPr>
      </w:pPr>
      <w:r>
        <w:rPr>
          <w:rFonts w:asciiTheme="majorHAnsi" w:hAnsiTheme="majorHAnsi"/>
          <w:b/>
        </w:rPr>
        <w:t>Wiki #7</w:t>
      </w:r>
    </w:p>
    <w:p w:rsidR="00F52F2B" w:rsidRDefault="00F52F2B" w:rsidP="00F52F2B">
      <w:pPr>
        <w:spacing w:line="240" w:lineRule="auto"/>
        <w:jc w:val="center"/>
        <w:rPr>
          <w:rFonts w:asciiTheme="majorHAnsi" w:hAnsiTheme="majorHAnsi"/>
          <w:b/>
        </w:rPr>
      </w:pPr>
    </w:p>
    <w:p w:rsidR="00F52F2B" w:rsidRPr="00C515D2" w:rsidRDefault="00F52F2B" w:rsidP="00C515D2">
      <w:pPr>
        <w:spacing w:line="240" w:lineRule="auto"/>
        <w:jc w:val="center"/>
        <w:rPr>
          <w:rFonts w:asciiTheme="majorHAnsi" w:hAnsiTheme="majorHAnsi"/>
          <w:b/>
          <w:sz w:val="24"/>
          <w:szCs w:val="24"/>
        </w:rPr>
      </w:pPr>
      <w:r>
        <w:rPr>
          <w:rFonts w:asciiTheme="majorHAnsi" w:hAnsiTheme="majorHAnsi"/>
          <w:b/>
          <w:sz w:val="24"/>
          <w:szCs w:val="24"/>
        </w:rPr>
        <w:t>Annotated Bibliography 4</w:t>
      </w:r>
    </w:p>
    <w:p w:rsidR="00C515D2" w:rsidRPr="00C515D2" w:rsidRDefault="00C515D2" w:rsidP="00C515D2">
      <w:pPr>
        <w:pStyle w:val="ListParagraph"/>
        <w:numPr>
          <w:ilvl w:val="0"/>
          <w:numId w:val="2"/>
        </w:numPr>
        <w:spacing w:before="240" w:line="240" w:lineRule="auto"/>
        <w:rPr>
          <w:rFonts w:asciiTheme="majorHAnsi" w:hAnsiTheme="majorHAnsi"/>
          <w:sz w:val="24"/>
          <w:szCs w:val="24"/>
        </w:rPr>
      </w:pPr>
      <w:r>
        <w:rPr>
          <w:rFonts w:asciiTheme="majorHAnsi" w:hAnsiTheme="majorHAnsi"/>
          <w:sz w:val="24"/>
          <w:szCs w:val="24"/>
        </w:rPr>
        <w:t xml:space="preserve"> </w:t>
      </w:r>
      <w:proofErr w:type="spellStart"/>
      <w:r w:rsidRPr="00C515D2">
        <w:rPr>
          <w:rFonts w:asciiTheme="majorHAnsi" w:hAnsiTheme="majorHAnsi"/>
          <w:sz w:val="24"/>
          <w:szCs w:val="24"/>
        </w:rPr>
        <w:t>Ardeshiri</w:t>
      </w:r>
      <w:proofErr w:type="spellEnd"/>
      <w:r w:rsidRPr="00C515D2">
        <w:rPr>
          <w:rFonts w:asciiTheme="majorHAnsi" w:hAnsiTheme="majorHAnsi"/>
          <w:sz w:val="24"/>
          <w:szCs w:val="24"/>
        </w:rPr>
        <w:t xml:space="preserve">, M., Cohen, Sarah &amp; Cummins, J. (2008). Computer-Supported Scaffolding of Literacy Development. </w:t>
      </w:r>
      <w:r w:rsidRPr="00C515D2">
        <w:rPr>
          <w:rFonts w:asciiTheme="majorHAnsi" w:hAnsiTheme="majorHAnsi"/>
          <w:i/>
          <w:sz w:val="24"/>
          <w:szCs w:val="24"/>
        </w:rPr>
        <w:t xml:space="preserve">Pedagogies: An International Journal. 4, </w:t>
      </w:r>
      <w:r w:rsidRPr="00C515D2">
        <w:rPr>
          <w:rFonts w:asciiTheme="majorHAnsi" w:hAnsiTheme="majorHAnsi"/>
          <w:sz w:val="24"/>
          <w:szCs w:val="24"/>
        </w:rPr>
        <w:t xml:space="preserve">4-21. </w:t>
      </w:r>
    </w:p>
    <w:p w:rsidR="00C515D2" w:rsidRPr="00C515D2" w:rsidRDefault="00C515D2" w:rsidP="009A49A2">
      <w:pPr>
        <w:spacing w:before="240" w:line="240" w:lineRule="auto"/>
        <w:rPr>
          <w:rFonts w:asciiTheme="majorHAnsi" w:hAnsiTheme="majorHAnsi"/>
          <w:sz w:val="24"/>
          <w:szCs w:val="24"/>
        </w:rPr>
      </w:pPr>
      <w:r w:rsidRPr="00C515D2">
        <w:rPr>
          <w:rFonts w:asciiTheme="majorHAnsi" w:hAnsiTheme="majorHAnsi"/>
          <w:sz w:val="24"/>
          <w:szCs w:val="24"/>
        </w:rPr>
        <w:t>In this study, the researchers examine how effective electronics are when they address supporting students’ acquisition of vocabulary versus using hard copy textual environments. There are reports within the study that addresses the extent to which computer technology can support the development of literacy skills of students who are in the process of learning the language of instruction. The piece of technology used in this study is call the e-</w:t>
      </w:r>
      <w:proofErr w:type="spellStart"/>
      <w:r w:rsidRPr="00C515D2">
        <w:rPr>
          <w:rFonts w:asciiTheme="majorHAnsi" w:hAnsiTheme="majorHAnsi"/>
          <w:sz w:val="24"/>
          <w:szCs w:val="24"/>
        </w:rPr>
        <w:t>Lective</w:t>
      </w:r>
      <w:proofErr w:type="spellEnd"/>
      <w:r w:rsidRPr="00C515D2">
        <w:rPr>
          <w:rFonts w:asciiTheme="majorHAnsi" w:hAnsiTheme="majorHAnsi"/>
          <w:sz w:val="24"/>
          <w:szCs w:val="24"/>
        </w:rPr>
        <w:t xml:space="preserve"> Language Learning program, and it enable ELL’s to gain access to academic texts that are beyond their current level of target language proficiency and to extend their knowledge of academic language. </w:t>
      </w:r>
    </w:p>
    <w:p w:rsidR="00C515D2" w:rsidRPr="00F361F9" w:rsidRDefault="00C515D2" w:rsidP="00C515D2">
      <w:pPr>
        <w:pStyle w:val="ListParagraph"/>
        <w:numPr>
          <w:ilvl w:val="0"/>
          <w:numId w:val="2"/>
        </w:numPr>
        <w:spacing w:line="240" w:lineRule="auto"/>
        <w:rPr>
          <w:rFonts w:asciiTheme="majorHAnsi" w:hAnsiTheme="majorHAnsi"/>
          <w:i/>
          <w:sz w:val="24"/>
          <w:szCs w:val="24"/>
        </w:rPr>
      </w:pPr>
      <w:r>
        <w:rPr>
          <w:rFonts w:asciiTheme="majorHAnsi" w:hAnsiTheme="majorHAnsi"/>
          <w:i/>
          <w:sz w:val="24"/>
          <w:szCs w:val="24"/>
        </w:rPr>
        <w:t xml:space="preserve"> </w:t>
      </w:r>
      <w:r>
        <w:rPr>
          <w:rFonts w:asciiTheme="majorHAnsi" w:hAnsiTheme="majorHAnsi"/>
          <w:sz w:val="24"/>
          <w:szCs w:val="24"/>
        </w:rPr>
        <w:t xml:space="preserve">Cummins, J. (2011). Literacy Engagement – Fueling Academic Growth for English Learners. </w:t>
      </w:r>
      <w:r>
        <w:rPr>
          <w:rFonts w:asciiTheme="majorHAnsi" w:hAnsiTheme="majorHAnsi"/>
          <w:i/>
          <w:sz w:val="24"/>
          <w:szCs w:val="24"/>
        </w:rPr>
        <w:t>The Reading Teacher</w:t>
      </w:r>
      <w:r w:rsidR="00F361F9">
        <w:rPr>
          <w:rFonts w:asciiTheme="majorHAnsi" w:hAnsiTheme="majorHAnsi"/>
          <w:i/>
          <w:sz w:val="24"/>
          <w:szCs w:val="24"/>
        </w:rPr>
        <w:t xml:space="preserve">. Volume 65 </w:t>
      </w:r>
      <w:r w:rsidR="00F361F9">
        <w:rPr>
          <w:rFonts w:asciiTheme="majorHAnsi" w:hAnsiTheme="majorHAnsi"/>
          <w:sz w:val="24"/>
          <w:szCs w:val="24"/>
        </w:rPr>
        <w:t>(2), 142-146.</w:t>
      </w:r>
    </w:p>
    <w:p w:rsidR="00F361F9" w:rsidRPr="00F361F9" w:rsidRDefault="009A49A2" w:rsidP="009A49A2">
      <w:pPr>
        <w:spacing w:line="240" w:lineRule="auto"/>
        <w:rPr>
          <w:rFonts w:asciiTheme="majorHAnsi" w:hAnsiTheme="majorHAnsi"/>
          <w:sz w:val="24"/>
          <w:szCs w:val="24"/>
        </w:rPr>
      </w:pPr>
      <w:r>
        <w:rPr>
          <w:rFonts w:asciiTheme="majorHAnsi" w:hAnsiTheme="majorHAnsi"/>
          <w:sz w:val="24"/>
          <w:szCs w:val="24"/>
        </w:rPr>
        <w:t xml:space="preserve"> In this </w:t>
      </w:r>
      <w:proofErr w:type="spellStart"/>
      <w:r>
        <w:rPr>
          <w:rFonts w:asciiTheme="majorHAnsi" w:hAnsiTheme="majorHAnsi"/>
          <w:sz w:val="24"/>
          <w:szCs w:val="24"/>
        </w:rPr>
        <w:t>artic</w:t>
      </w:r>
      <w:r w:rsidR="00F361F9">
        <w:rPr>
          <w:rFonts w:asciiTheme="majorHAnsi" w:hAnsiTheme="majorHAnsi"/>
          <w:sz w:val="24"/>
          <w:szCs w:val="24"/>
        </w:rPr>
        <w:t>e</w:t>
      </w:r>
      <w:proofErr w:type="spellEnd"/>
      <w:r w:rsidR="00F361F9">
        <w:rPr>
          <w:rFonts w:asciiTheme="majorHAnsi" w:hAnsiTheme="majorHAnsi"/>
          <w:sz w:val="24"/>
          <w:szCs w:val="24"/>
        </w:rPr>
        <w:t xml:space="preserve">, Jim Cummins present the case for considering literacy engagement as a primary determinant of literacy achievement for English Language Learners and underachieving students. </w:t>
      </w:r>
      <w:r w:rsidR="002D3021">
        <w:rPr>
          <w:rFonts w:asciiTheme="majorHAnsi" w:hAnsiTheme="majorHAnsi"/>
          <w:sz w:val="24"/>
          <w:szCs w:val="24"/>
        </w:rPr>
        <w:t xml:space="preserve">In the article he touches upon the fact that </w:t>
      </w:r>
      <w:proofErr w:type="gramStart"/>
      <w:r w:rsidR="002D3021">
        <w:rPr>
          <w:rFonts w:asciiTheme="majorHAnsi" w:hAnsiTheme="majorHAnsi"/>
          <w:sz w:val="24"/>
          <w:szCs w:val="24"/>
        </w:rPr>
        <w:t>students</w:t>
      </w:r>
      <w:proofErr w:type="gramEnd"/>
      <w:r w:rsidR="002D3021">
        <w:rPr>
          <w:rFonts w:asciiTheme="majorHAnsi" w:hAnsiTheme="majorHAnsi"/>
          <w:sz w:val="24"/>
          <w:szCs w:val="24"/>
        </w:rPr>
        <w:t xml:space="preserve"> access to reading materials plays an important role in students’ reading behavior, emergent literacy skills and reading performances. </w:t>
      </w:r>
    </w:p>
    <w:p w:rsidR="00F361F9" w:rsidRDefault="00F361F9" w:rsidP="00F361F9">
      <w:pPr>
        <w:spacing w:line="240" w:lineRule="auto"/>
        <w:ind w:left="360"/>
        <w:rPr>
          <w:rFonts w:asciiTheme="majorHAnsi" w:hAnsiTheme="majorHAnsi"/>
          <w:sz w:val="24"/>
          <w:szCs w:val="24"/>
        </w:rPr>
      </w:pPr>
    </w:p>
    <w:p w:rsidR="00F361F9" w:rsidRPr="002D3021" w:rsidRDefault="002D3021" w:rsidP="002D3021">
      <w:pPr>
        <w:pStyle w:val="ListParagraph"/>
        <w:numPr>
          <w:ilvl w:val="0"/>
          <w:numId w:val="2"/>
        </w:numPr>
        <w:autoSpaceDE w:val="0"/>
        <w:autoSpaceDN w:val="0"/>
        <w:adjustRightInd w:val="0"/>
        <w:spacing w:after="0" w:line="240" w:lineRule="auto"/>
        <w:rPr>
          <w:rFonts w:asciiTheme="majorHAnsi" w:hAnsiTheme="majorHAnsi"/>
          <w:sz w:val="24"/>
          <w:szCs w:val="24"/>
        </w:rPr>
      </w:pPr>
      <w:r>
        <w:rPr>
          <w:rFonts w:asciiTheme="majorHAnsi" w:hAnsiTheme="majorHAnsi"/>
          <w:sz w:val="24"/>
          <w:szCs w:val="24"/>
        </w:rPr>
        <w:t xml:space="preserve">Cummins, J. (2009). Transformative </w:t>
      </w:r>
      <w:proofErr w:type="spellStart"/>
      <w:r>
        <w:rPr>
          <w:rFonts w:asciiTheme="majorHAnsi" w:hAnsiTheme="majorHAnsi"/>
          <w:sz w:val="24"/>
          <w:szCs w:val="24"/>
        </w:rPr>
        <w:t>Multiliteracies</w:t>
      </w:r>
      <w:proofErr w:type="spellEnd"/>
      <w:r>
        <w:rPr>
          <w:rFonts w:asciiTheme="majorHAnsi" w:hAnsiTheme="majorHAnsi"/>
          <w:sz w:val="24"/>
          <w:szCs w:val="24"/>
        </w:rPr>
        <w:t xml:space="preserve"> Pedagogy: School-base Strategies for Closing the Achievement Gap. </w:t>
      </w:r>
      <w:r>
        <w:rPr>
          <w:rFonts w:asciiTheme="majorHAnsi" w:hAnsiTheme="majorHAnsi"/>
          <w:i/>
          <w:sz w:val="24"/>
          <w:szCs w:val="24"/>
        </w:rPr>
        <w:t>Multiple Voices foe Ethnically Diverse Exceptional Learners. Volume 11</w:t>
      </w:r>
      <w:r>
        <w:rPr>
          <w:rFonts w:asciiTheme="majorHAnsi" w:hAnsiTheme="majorHAnsi"/>
          <w:sz w:val="24"/>
          <w:szCs w:val="24"/>
        </w:rPr>
        <w:t>(2), 38-56.</w:t>
      </w:r>
    </w:p>
    <w:p w:rsidR="002D3021" w:rsidRPr="009A49A2" w:rsidRDefault="002D3021" w:rsidP="009A49A2">
      <w:pPr>
        <w:spacing w:line="240" w:lineRule="auto"/>
        <w:ind w:left="720"/>
        <w:rPr>
          <w:rFonts w:asciiTheme="majorHAnsi" w:hAnsiTheme="majorHAnsi"/>
          <w:sz w:val="24"/>
          <w:szCs w:val="24"/>
        </w:rPr>
      </w:pPr>
    </w:p>
    <w:p w:rsidR="009A49A2" w:rsidRPr="009A49A2" w:rsidRDefault="009A49A2" w:rsidP="009A49A2">
      <w:pPr>
        <w:spacing w:line="240" w:lineRule="auto"/>
        <w:rPr>
          <w:rFonts w:asciiTheme="majorHAnsi" w:hAnsiTheme="majorHAnsi"/>
          <w:sz w:val="24"/>
          <w:szCs w:val="24"/>
        </w:rPr>
      </w:pPr>
      <w:bookmarkStart w:id="0" w:name="_GoBack"/>
      <w:r w:rsidRPr="009A49A2">
        <w:rPr>
          <w:rFonts w:asciiTheme="majorHAnsi" w:hAnsiTheme="majorHAnsi"/>
          <w:sz w:val="24"/>
          <w:szCs w:val="24"/>
        </w:rPr>
        <w:t xml:space="preserve">In this </w:t>
      </w:r>
      <w:r>
        <w:rPr>
          <w:rFonts w:asciiTheme="majorHAnsi" w:hAnsiTheme="majorHAnsi"/>
          <w:sz w:val="24"/>
          <w:szCs w:val="24"/>
        </w:rPr>
        <w:t xml:space="preserve">article, Cummins focus on the kinds of pedagogy required to reverse the </w:t>
      </w:r>
      <w:bookmarkEnd w:id="0"/>
      <w:r>
        <w:rPr>
          <w:rFonts w:asciiTheme="majorHAnsi" w:hAnsiTheme="majorHAnsi"/>
          <w:sz w:val="24"/>
          <w:szCs w:val="24"/>
        </w:rPr>
        <w:t>underachievement of low income and culturally and linguistically diverse students.  Cummins stat</w:t>
      </w:r>
      <w:r w:rsidR="00AB254A">
        <w:rPr>
          <w:rFonts w:asciiTheme="majorHAnsi" w:hAnsiTheme="majorHAnsi"/>
          <w:sz w:val="24"/>
          <w:szCs w:val="24"/>
        </w:rPr>
        <w:t xml:space="preserve">ed that one of the factors that </w:t>
      </w:r>
      <w:r>
        <w:rPr>
          <w:rFonts w:asciiTheme="majorHAnsi" w:hAnsiTheme="majorHAnsi"/>
          <w:sz w:val="24"/>
          <w:szCs w:val="24"/>
        </w:rPr>
        <w:t xml:space="preserve">affect students’ educational prospects </w:t>
      </w:r>
      <w:r w:rsidR="00AB254A">
        <w:rPr>
          <w:rFonts w:asciiTheme="majorHAnsi" w:hAnsiTheme="majorHAnsi"/>
          <w:sz w:val="24"/>
          <w:szCs w:val="24"/>
        </w:rPr>
        <w:t>is the limited access to books and computers.</w:t>
      </w:r>
    </w:p>
    <w:p w:rsidR="00C515D2" w:rsidRDefault="009A49A2" w:rsidP="009A49A2">
      <w:pPr>
        <w:autoSpaceDE w:val="0"/>
        <w:autoSpaceDN w:val="0"/>
        <w:adjustRightInd w:val="0"/>
        <w:spacing w:after="0" w:line="240" w:lineRule="auto"/>
        <w:rPr>
          <w:rFonts w:ascii="Times New Roman" w:hAnsi="Times New Roman" w:cs="Times New Roman"/>
          <w:i/>
          <w:iCs/>
          <w:sz w:val="20"/>
          <w:szCs w:val="20"/>
        </w:rPr>
      </w:pPr>
      <w:r w:rsidRPr="009A49A2">
        <w:rPr>
          <w:rFonts w:asciiTheme="majorHAnsi" w:hAnsiTheme="majorHAnsi"/>
          <w:sz w:val="24"/>
          <w:szCs w:val="24"/>
        </w:rPr>
        <w:t xml:space="preserve"> </w:t>
      </w:r>
      <w:r>
        <w:rPr>
          <w:rFonts w:ascii="Times New Roman" w:hAnsi="Times New Roman" w:cs="Times New Roman"/>
          <w:i/>
          <w:iCs/>
          <w:sz w:val="20"/>
          <w:szCs w:val="20"/>
        </w:rPr>
        <w:t xml:space="preserve"> </w:t>
      </w:r>
    </w:p>
    <w:p w:rsidR="009A49A2" w:rsidRPr="009A49A2" w:rsidRDefault="00AB254A" w:rsidP="009A49A2">
      <w:pPr>
        <w:autoSpaceDE w:val="0"/>
        <w:autoSpaceDN w:val="0"/>
        <w:adjustRightInd w:val="0"/>
        <w:spacing w:after="0" w:line="240" w:lineRule="auto"/>
        <w:rPr>
          <w:rFonts w:asciiTheme="majorHAnsi" w:hAnsiTheme="majorHAnsi"/>
          <w:i/>
          <w:sz w:val="24"/>
          <w:szCs w:val="24"/>
        </w:rPr>
      </w:pPr>
      <w:r>
        <w:rPr>
          <w:rFonts w:ascii="Times New Roman" w:hAnsi="Times New Roman" w:cs="Times New Roman"/>
          <w:sz w:val="20"/>
          <w:szCs w:val="20"/>
        </w:rPr>
        <w:t xml:space="preserve"> </w:t>
      </w:r>
    </w:p>
    <w:p w:rsidR="0082663D" w:rsidRDefault="0082663D"/>
    <w:sectPr w:rsidR="0082663D" w:rsidSect="00F52F2B">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D387F"/>
    <w:multiLevelType w:val="hybridMultilevel"/>
    <w:tmpl w:val="95C66818"/>
    <w:lvl w:ilvl="0" w:tplc="8800D4E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F944D5E"/>
    <w:multiLevelType w:val="hybridMultilevel"/>
    <w:tmpl w:val="088E7CE4"/>
    <w:lvl w:ilvl="0" w:tplc="D0943A12">
      <w:start w:val="24"/>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2F2B"/>
    <w:rsid w:val="002D3021"/>
    <w:rsid w:val="004162AD"/>
    <w:rsid w:val="005E5449"/>
    <w:rsid w:val="00734104"/>
    <w:rsid w:val="0082663D"/>
    <w:rsid w:val="009A49A2"/>
    <w:rsid w:val="00AB254A"/>
    <w:rsid w:val="00C227F3"/>
    <w:rsid w:val="00C515D2"/>
    <w:rsid w:val="00ED12B1"/>
    <w:rsid w:val="00F361F9"/>
    <w:rsid w:val="00F52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F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F2B"/>
    <w:pPr>
      <w:ind w:left="720"/>
      <w:contextualSpacing/>
    </w:pPr>
  </w:style>
</w:styles>
</file>

<file path=word/webSettings.xml><?xml version="1.0" encoding="utf-8"?>
<w:webSettings xmlns:r="http://schemas.openxmlformats.org/officeDocument/2006/relationships" xmlns:w="http://schemas.openxmlformats.org/wordprocessingml/2006/main">
  <w:divs>
    <w:div w:id="1346788211">
      <w:bodyDiv w:val="1"/>
      <w:marLeft w:val="0"/>
      <w:marRight w:val="0"/>
      <w:marTop w:val="0"/>
      <w:marBottom w:val="0"/>
      <w:divBdr>
        <w:top w:val="none" w:sz="0" w:space="0" w:color="auto"/>
        <w:left w:val="none" w:sz="0" w:space="0" w:color="auto"/>
        <w:bottom w:val="none" w:sz="0" w:space="0" w:color="auto"/>
        <w:right w:val="none" w:sz="0" w:space="0" w:color="auto"/>
      </w:divBdr>
    </w:div>
    <w:div w:id="171376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Administrator</cp:lastModifiedBy>
  <cp:revision>2</cp:revision>
  <dcterms:created xsi:type="dcterms:W3CDTF">2011-12-11T02:09:00Z</dcterms:created>
  <dcterms:modified xsi:type="dcterms:W3CDTF">2011-12-11T02:09:00Z</dcterms:modified>
</cp:coreProperties>
</file>